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0340" w14:textId="77777777" w:rsidR="005070E5" w:rsidRPr="005070E5" w:rsidRDefault="005070E5" w:rsidP="005070E5">
      <w:pPr>
        <w:rPr>
          <w:b/>
          <w:bCs/>
        </w:rPr>
      </w:pPr>
      <w:r w:rsidRPr="005070E5">
        <w:rPr>
          <w:b/>
          <w:bCs/>
        </w:rPr>
        <w:t>Joint ASSP–AIHA Technical Meeting</w:t>
      </w:r>
    </w:p>
    <w:p w14:paraId="762CB5F1" w14:textId="77777777" w:rsidR="005070E5" w:rsidRPr="005070E5" w:rsidRDefault="005070E5" w:rsidP="005070E5">
      <w:pPr>
        <w:rPr>
          <w:b/>
          <w:bCs/>
        </w:rPr>
      </w:pPr>
      <w:r w:rsidRPr="005070E5">
        <w:rPr>
          <w:b/>
          <w:bCs/>
        </w:rPr>
        <w:t>Navigating Updated TSCA Regulations: Managing Organic Solvent Exposure Risks in the Workplace</w:t>
      </w:r>
    </w:p>
    <w:p w14:paraId="2C4CDCF5" w14:textId="77777777" w:rsidR="005070E5" w:rsidRPr="005070E5" w:rsidRDefault="005070E5" w:rsidP="005070E5">
      <w:r w:rsidRPr="005070E5">
        <w:rPr>
          <w:b/>
          <w:bCs/>
        </w:rPr>
        <w:t>Date:</w:t>
      </w:r>
      <w:r w:rsidRPr="005070E5">
        <w:t xml:space="preserve"> Thursday, March 26, 2026</w:t>
      </w:r>
      <w:r w:rsidRPr="005070E5">
        <w:br/>
      </w:r>
      <w:r w:rsidRPr="005070E5">
        <w:rPr>
          <w:b/>
          <w:bCs/>
        </w:rPr>
        <w:t>Time:</w:t>
      </w:r>
      <w:r w:rsidRPr="005070E5">
        <w:t xml:space="preserve"> 4:00 – 6:00 PM</w:t>
      </w:r>
      <w:r w:rsidRPr="005070E5">
        <w:br/>
      </w:r>
      <w:r w:rsidRPr="005070E5">
        <w:rPr>
          <w:b/>
          <w:bCs/>
        </w:rPr>
        <w:t>Location:</w:t>
      </w:r>
      <w:r w:rsidRPr="005070E5">
        <w:t xml:space="preserve"> EH&amp;E</w:t>
      </w:r>
      <w:r w:rsidRPr="005070E5">
        <w:br/>
        <w:t>180 Wells Avenue, Suite 200</w:t>
      </w:r>
      <w:r w:rsidRPr="005070E5">
        <w:br/>
        <w:t>Newton, MA</w:t>
      </w:r>
    </w:p>
    <w:p w14:paraId="1BC566F7" w14:textId="77777777" w:rsidR="005070E5" w:rsidRPr="005070E5" w:rsidRDefault="005070E5" w:rsidP="005070E5">
      <w:r w:rsidRPr="005070E5">
        <w:rPr>
          <w:b/>
          <w:bCs/>
        </w:rPr>
        <w:t>CEUs:</w:t>
      </w:r>
      <w:r w:rsidRPr="005070E5">
        <w:t xml:space="preserve"> .2 CEUs anticipated (ASSP &amp; AIHA)</w:t>
      </w:r>
    </w:p>
    <w:p w14:paraId="7F0BE1E6" w14:textId="77777777" w:rsidR="005070E5" w:rsidRPr="005070E5" w:rsidRDefault="00155C1C" w:rsidP="005070E5">
      <w:r>
        <w:pict w14:anchorId="29EF414C">
          <v:rect id="_x0000_i1025" style="width:0;height:1.5pt" o:hralign="center" o:hrstd="t" o:hr="t" fillcolor="#a0a0a0" stroked="f"/>
        </w:pict>
      </w:r>
    </w:p>
    <w:p w14:paraId="05E64266" w14:textId="77777777" w:rsidR="005070E5" w:rsidRPr="005070E5" w:rsidRDefault="005070E5" w:rsidP="005070E5">
      <w:pPr>
        <w:rPr>
          <w:b/>
          <w:bCs/>
        </w:rPr>
      </w:pPr>
      <w:r w:rsidRPr="005070E5">
        <w:rPr>
          <w:b/>
          <w:bCs/>
        </w:rPr>
        <w:t>Overview</w:t>
      </w:r>
    </w:p>
    <w:p w14:paraId="6D8DF0AF" w14:textId="77777777" w:rsidR="005070E5" w:rsidRPr="005070E5" w:rsidRDefault="005070E5" w:rsidP="005070E5">
      <w:r w:rsidRPr="005070E5">
        <w:t xml:space="preserve">The Greater Boston Chapter of ASSP, in collaboration with the New England Chapter of AIHA, </w:t>
      </w:r>
      <w:proofErr w:type="gramStart"/>
      <w:r w:rsidRPr="005070E5">
        <w:t>is hosting</w:t>
      </w:r>
      <w:proofErr w:type="gramEnd"/>
      <w:r w:rsidRPr="005070E5">
        <w:t xml:space="preserve"> an in-person technical session addressing recent regulatory updates under the EPA’s Toxic Substances Control Act (TSCA).</w:t>
      </w:r>
    </w:p>
    <w:p w14:paraId="79575B2A" w14:textId="44E4F22F" w:rsidR="005070E5" w:rsidRPr="005070E5" w:rsidRDefault="005070E5" w:rsidP="005070E5">
      <w:r w:rsidRPr="005070E5">
        <w:t xml:space="preserve">New, </w:t>
      </w:r>
      <w:r>
        <w:t>regulatory</w:t>
      </w:r>
      <w:r w:rsidRPr="005070E5">
        <w:t xml:space="preserve"> requirements related to methylene chloride, TCE, and other high-hazard organic solvents are reshaping how organizations assess, monitor, and manage exposure risks.</w:t>
      </w:r>
    </w:p>
    <w:p w14:paraId="2751422F" w14:textId="77777777" w:rsidR="005070E5" w:rsidRPr="005070E5" w:rsidRDefault="005070E5" w:rsidP="005070E5">
      <w:r w:rsidRPr="005070E5">
        <w:t>This session brings together safety and industrial hygiene professionals to examine what has changed, how TSCA intersects with OSHA standards and established IH practice, and what practical steps organizations should take now.</w:t>
      </w:r>
    </w:p>
    <w:p w14:paraId="7364DC83" w14:textId="77777777" w:rsidR="005070E5" w:rsidRPr="005070E5" w:rsidRDefault="00155C1C" w:rsidP="005070E5">
      <w:r>
        <w:pict w14:anchorId="5AA8C65E">
          <v:rect id="_x0000_i1026" style="width:0;height:1.5pt" o:hralign="center" o:hrstd="t" o:hr="t" fillcolor="#a0a0a0" stroked="f"/>
        </w:pict>
      </w:r>
    </w:p>
    <w:p w14:paraId="7F6C8CD1" w14:textId="77777777" w:rsidR="005070E5" w:rsidRPr="005070E5" w:rsidRDefault="005070E5" w:rsidP="005070E5">
      <w:pPr>
        <w:rPr>
          <w:b/>
          <w:bCs/>
        </w:rPr>
      </w:pPr>
      <w:r w:rsidRPr="005070E5">
        <w:rPr>
          <w:b/>
          <w:bCs/>
        </w:rPr>
        <w:t>Who Should Attend</w:t>
      </w:r>
    </w:p>
    <w:p w14:paraId="02631841" w14:textId="77777777" w:rsidR="005070E5" w:rsidRPr="005070E5" w:rsidRDefault="005070E5" w:rsidP="005070E5">
      <w:r w:rsidRPr="005070E5">
        <w:t>This program is designed for:</w:t>
      </w:r>
    </w:p>
    <w:p w14:paraId="2EA61F80" w14:textId="77777777" w:rsidR="005070E5" w:rsidRPr="005070E5" w:rsidRDefault="005070E5" w:rsidP="005070E5">
      <w:pPr>
        <w:numPr>
          <w:ilvl w:val="0"/>
          <w:numId w:val="1"/>
        </w:numPr>
      </w:pPr>
      <w:r w:rsidRPr="005070E5">
        <w:t>Certified Industrial Hygienists (CIH)</w:t>
      </w:r>
    </w:p>
    <w:p w14:paraId="36133996" w14:textId="77777777" w:rsidR="005070E5" w:rsidRPr="005070E5" w:rsidRDefault="005070E5" w:rsidP="005070E5">
      <w:pPr>
        <w:numPr>
          <w:ilvl w:val="0"/>
          <w:numId w:val="1"/>
        </w:numPr>
      </w:pPr>
      <w:r w:rsidRPr="005070E5">
        <w:t>Certified Safety Professionals (CSP)</w:t>
      </w:r>
    </w:p>
    <w:p w14:paraId="1A94EFEF" w14:textId="77777777" w:rsidR="005070E5" w:rsidRPr="005070E5" w:rsidRDefault="005070E5" w:rsidP="005070E5">
      <w:pPr>
        <w:numPr>
          <w:ilvl w:val="0"/>
          <w:numId w:val="1"/>
        </w:numPr>
      </w:pPr>
      <w:r w:rsidRPr="005070E5">
        <w:t>EHS Managers and Directors</w:t>
      </w:r>
    </w:p>
    <w:p w14:paraId="5EC55F64" w14:textId="77777777" w:rsidR="005070E5" w:rsidRPr="005070E5" w:rsidRDefault="005070E5" w:rsidP="005070E5">
      <w:pPr>
        <w:numPr>
          <w:ilvl w:val="0"/>
          <w:numId w:val="1"/>
        </w:numPr>
      </w:pPr>
      <w:r w:rsidRPr="005070E5">
        <w:t>Environmental Managers</w:t>
      </w:r>
    </w:p>
    <w:p w14:paraId="54E968AD" w14:textId="77777777" w:rsidR="005070E5" w:rsidRPr="005070E5" w:rsidRDefault="005070E5" w:rsidP="005070E5">
      <w:pPr>
        <w:numPr>
          <w:ilvl w:val="0"/>
          <w:numId w:val="1"/>
        </w:numPr>
      </w:pPr>
      <w:r w:rsidRPr="005070E5">
        <w:t>Laboratory and Research Safety Professionals</w:t>
      </w:r>
    </w:p>
    <w:p w14:paraId="19619D86" w14:textId="77777777" w:rsidR="005070E5" w:rsidRPr="005070E5" w:rsidRDefault="005070E5" w:rsidP="005070E5">
      <w:pPr>
        <w:numPr>
          <w:ilvl w:val="0"/>
          <w:numId w:val="1"/>
        </w:numPr>
      </w:pPr>
      <w:r w:rsidRPr="005070E5">
        <w:t>Consultants supporting solvent-exposed operations</w:t>
      </w:r>
    </w:p>
    <w:p w14:paraId="50E4EE01" w14:textId="77777777" w:rsidR="005070E5" w:rsidRPr="005070E5" w:rsidRDefault="005070E5" w:rsidP="005070E5">
      <w:pPr>
        <w:numPr>
          <w:ilvl w:val="0"/>
          <w:numId w:val="1"/>
        </w:numPr>
      </w:pPr>
      <w:r w:rsidRPr="005070E5">
        <w:lastRenderedPageBreak/>
        <w:t>Facilities and Operations Leaders</w:t>
      </w:r>
    </w:p>
    <w:p w14:paraId="798B6B69" w14:textId="77777777" w:rsidR="005070E5" w:rsidRPr="005070E5" w:rsidRDefault="00155C1C" w:rsidP="005070E5">
      <w:r>
        <w:pict w14:anchorId="17CEE21C">
          <v:rect id="_x0000_i1027" style="width:0;height:1.5pt" o:hralign="center" o:hrstd="t" o:hr="t" fillcolor="#a0a0a0" stroked="f"/>
        </w:pict>
      </w:r>
    </w:p>
    <w:p w14:paraId="74A48D2F" w14:textId="77777777" w:rsidR="005070E5" w:rsidRPr="005070E5" w:rsidRDefault="005070E5" w:rsidP="005070E5">
      <w:pPr>
        <w:rPr>
          <w:b/>
          <w:bCs/>
        </w:rPr>
      </w:pPr>
      <w:r w:rsidRPr="005070E5">
        <w:rPr>
          <w:b/>
          <w:bCs/>
        </w:rPr>
        <w:t>Learning Objectives</w:t>
      </w:r>
    </w:p>
    <w:p w14:paraId="67C92F98" w14:textId="77777777" w:rsidR="005070E5" w:rsidRPr="005070E5" w:rsidRDefault="005070E5" w:rsidP="005070E5">
      <w:proofErr w:type="gramStart"/>
      <w:r w:rsidRPr="005070E5">
        <w:t>By</w:t>
      </w:r>
      <w:proofErr w:type="gramEnd"/>
      <w:r w:rsidRPr="005070E5">
        <w:t xml:space="preserve"> the end of this session, participants will be able to:</w:t>
      </w:r>
    </w:p>
    <w:p w14:paraId="2C33CD3C" w14:textId="77777777" w:rsidR="005070E5" w:rsidRPr="005070E5" w:rsidRDefault="005070E5" w:rsidP="005070E5">
      <w:pPr>
        <w:numPr>
          <w:ilvl w:val="0"/>
          <w:numId w:val="2"/>
        </w:numPr>
      </w:pPr>
      <w:r w:rsidRPr="005070E5">
        <w:t>Describe recent TSCA updates related to organic solvent risk management</w:t>
      </w:r>
    </w:p>
    <w:p w14:paraId="5A5549AB" w14:textId="77777777" w:rsidR="005070E5" w:rsidRPr="005070E5" w:rsidRDefault="005070E5" w:rsidP="005070E5">
      <w:pPr>
        <w:numPr>
          <w:ilvl w:val="0"/>
          <w:numId w:val="2"/>
        </w:numPr>
      </w:pPr>
      <w:r w:rsidRPr="005070E5">
        <w:t>Understand enforcement implications and regulatory drivers</w:t>
      </w:r>
    </w:p>
    <w:p w14:paraId="14F7FAEB" w14:textId="77777777" w:rsidR="005070E5" w:rsidRPr="005070E5" w:rsidRDefault="005070E5" w:rsidP="005070E5">
      <w:pPr>
        <w:numPr>
          <w:ilvl w:val="0"/>
          <w:numId w:val="2"/>
        </w:numPr>
      </w:pPr>
      <w:r w:rsidRPr="005070E5">
        <w:t>Compare TSCA requirements with OSHA PELs and established IH best practices</w:t>
      </w:r>
    </w:p>
    <w:p w14:paraId="0861BC07" w14:textId="77777777" w:rsidR="005070E5" w:rsidRPr="005070E5" w:rsidRDefault="005070E5" w:rsidP="005070E5">
      <w:pPr>
        <w:numPr>
          <w:ilvl w:val="0"/>
          <w:numId w:val="2"/>
        </w:numPr>
      </w:pPr>
      <w:r w:rsidRPr="005070E5">
        <w:t>Evaluate exposure monitoring and control strategies under evolving regulatory scrutiny</w:t>
      </w:r>
    </w:p>
    <w:p w14:paraId="287703EE" w14:textId="77777777" w:rsidR="005070E5" w:rsidRPr="005070E5" w:rsidRDefault="005070E5" w:rsidP="005070E5">
      <w:pPr>
        <w:numPr>
          <w:ilvl w:val="0"/>
          <w:numId w:val="2"/>
        </w:numPr>
      </w:pPr>
      <w:r w:rsidRPr="005070E5">
        <w:t>Identify gaps in existing programs and develop practical compliance roadmaps</w:t>
      </w:r>
    </w:p>
    <w:p w14:paraId="78DE7B74" w14:textId="77777777" w:rsidR="005070E5" w:rsidRPr="005070E5" w:rsidRDefault="00155C1C" w:rsidP="005070E5">
      <w:r>
        <w:pict w14:anchorId="76C51D77">
          <v:rect id="_x0000_i1028" style="width:0;height:1.5pt" o:hralign="center" o:hrstd="t" o:hr="t" fillcolor="#a0a0a0" stroked="f"/>
        </w:pict>
      </w:r>
    </w:p>
    <w:p w14:paraId="0A33019D" w14:textId="77777777" w:rsidR="005070E5" w:rsidRPr="005070E5" w:rsidRDefault="005070E5" w:rsidP="005070E5">
      <w:pPr>
        <w:rPr>
          <w:b/>
          <w:bCs/>
        </w:rPr>
      </w:pPr>
      <w:r w:rsidRPr="005070E5">
        <w:rPr>
          <w:b/>
          <w:bCs/>
        </w:rPr>
        <w:t>Agenda Highlights</w:t>
      </w:r>
    </w:p>
    <w:p w14:paraId="61D189DF" w14:textId="77777777" w:rsidR="005070E5" w:rsidRPr="005070E5" w:rsidRDefault="005070E5" w:rsidP="005070E5">
      <w:pPr>
        <w:numPr>
          <w:ilvl w:val="0"/>
          <w:numId w:val="3"/>
        </w:numPr>
      </w:pPr>
      <w:r w:rsidRPr="005070E5">
        <w:t>TSCA regulatory framework and enforcement landscape</w:t>
      </w:r>
    </w:p>
    <w:p w14:paraId="3EA325CD" w14:textId="77777777" w:rsidR="005070E5" w:rsidRPr="005070E5" w:rsidRDefault="005070E5" w:rsidP="005070E5">
      <w:pPr>
        <w:numPr>
          <w:ilvl w:val="0"/>
          <w:numId w:val="3"/>
        </w:numPr>
      </w:pPr>
      <w:r w:rsidRPr="005070E5">
        <w:t>Health risks and exposure pathways for high-hazard solvents</w:t>
      </w:r>
    </w:p>
    <w:p w14:paraId="13EDF1A2" w14:textId="77777777" w:rsidR="005070E5" w:rsidRPr="005070E5" w:rsidRDefault="005070E5" w:rsidP="005070E5">
      <w:pPr>
        <w:numPr>
          <w:ilvl w:val="0"/>
          <w:numId w:val="3"/>
        </w:numPr>
      </w:pPr>
      <w:r w:rsidRPr="005070E5">
        <w:t>Air monitoring strategies and exposure assessment considerations</w:t>
      </w:r>
    </w:p>
    <w:p w14:paraId="2A5B8442" w14:textId="77777777" w:rsidR="005070E5" w:rsidRPr="005070E5" w:rsidRDefault="005070E5" w:rsidP="005070E5">
      <w:pPr>
        <w:numPr>
          <w:ilvl w:val="0"/>
          <w:numId w:val="3"/>
        </w:numPr>
      </w:pPr>
      <w:r w:rsidRPr="005070E5">
        <w:t>Case studies from academic and industrial environments</w:t>
      </w:r>
    </w:p>
    <w:p w14:paraId="13ED987E" w14:textId="77777777" w:rsidR="005070E5" w:rsidRPr="005070E5" w:rsidRDefault="005070E5" w:rsidP="005070E5">
      <w:pPr>
        <w:numPr>
          <w:ilvl w:val="0"/>
          <w:numId w:val="3"/>
        </w:numPr>
      </w:pPr>
      <w:r w:rsidRPr="005070E5">
        <w:t>Documentation, substitution, and compliance planning strategies</w:t>
      </w:r>
    </w:p>
    <w:p w14:paraId="1CFFDC50" w14:textId="77777777" w:rsidR="005070E5" w:rsidRPr="005070E5" w:rsidRDefault="005070E5" w:rsidP="005070E5">
      <w:pPr>
        <w:numPr>
          <w:ilvl w:val="0"/>
          <w:numId w:val="3"/>
        </w:numPr>
      </w:pPr>
      <w:r w:rsidRPr="005070E5">
        <w:t>Interactive Q&amp;A and cross-discipline discussion</w:t>
      </w:r>
    </w:p>
    <w:p w14:paraId="1EB3A7EE" w14:textId="77777777" w:rsidR="005070E5" w:rsidRPr="005070E5" w:rsidRDefault="00155C1C" w:rsidP="005070E5">
      <w:r>
        <w:pict w14:anchorId="03086182">
          <v:rect id="_x0000_i1029" style="width:0;height:1.5pt" o:hralign="center" o:hrstd="t" o:hr="t" fillcolor="#a0a0a0" stroked="f"/>
        </w:pict>
      </w:r>
    </w:p>
    <w:p w14:paraId="6D3E1825" w14:textId="77777777" w:rsidR="005070E5" w:rsidRPr="005070E5" w:rsidRDefault="005070E5" w:rsidP="005070E5">
      <w:pPr>
        <w:rPr>
          <w:b/>
          <w:bCs/>
        </w:rPr>
      </w:pPr>
      <w:r w:rsidRPr="005070E5">
        <w:rPr>
          <w:b/>
          <w:bCs/>
        </w:rPr>
        <w:t>Speakers</w:t>
      </w:r>
    </w:p>
    <w:p w14:paraId="0231369C" w14:textId="77777777" w:rsidR="005070E5" w:rsidRPr="005070E5" w:rsidRDefault="005070E5" w:rsidP="005070E5">
      <w:r w:rsidRPr="005070E5">
        <w:rPr>
          <w:b/>
          <w:bCs/>
        </w:rPr>
        <w:t>Will Wade, CIH</w:t>
      </w:r>
      <w:r w:rsidRPr="005070E5">
        <w:br/>
        <w:t>Principal Consultant, EH&amp;E</w:t>
      </w:r>
    </w:p>
    <w:p w14:paraId="3508B931" w14:textId="77777777" w:rsidR="005070E5" w:rsidRPr="005070E5" w:rsidRDefault="005070E5" w:rsidP="005070E5">
      <w:r w:rsidRPr="005070E5">
        <w:rPr>
          <w:b/>
          <w:bCs/>
        </w:rPr>
        <w:t>Simona Holacsek, CIH</w:t>
      </w:r>
      <w:r w:rsidRPr="005070E5">
        <w:br/>
        <w:t>Senior Industrial Hygienist, Tufts University</w:t>
      </w:r>
    </w:p>
    <w:p w14:paraId="2AB56153" w14:textId="77777777" w:rsidR="005070E5" w:rsidRPr="005070E5" w:rsidRDefault="00155C1C" w:rsidP="005070E5">
      <w:r>
        <w:pict w14:anchorId="739174B1">
          <v:rect id="_x0000_i1030" style="width:0;height:1.5pt" o:hralign="center" o:hrstd="t" o:hr="t" fillcolor="#a0a0a0" stroked="f"/>
        </w:pict>
      </w:r>
    </w:p>
    <w:p w14:paraId="0B637370" w14:textId="77777777" w:rsidR="005070E5" w:rsidRPr="005070E5" w:rsidRDefault="005070E5" w:rsidP="005070E5">
      <w:pPr>
        <w:rPr>
          <w:b/>
          <w:bCs/>
        </w:rPr>
      </w:pPr>
      <w:r w:rsidRPr="005070E5">
        <w:rPr>
          <w:b/>
          <w:bCs/>
        </w:rPr>
        <w:t>Networking Reception</w:t>
      </w:r>
    </w:p>
    <w:p w14:paraId="015051B4" w14:textId="13CCCBFA" w:rsidR="005070E5" w:rsidRPr="005070E5" w:rsidRDefault="005070E5" w:rsidP="005070E5">
      <w:r w:rsidRPr="005070E5">
        <w:lastRenderedPageBreak/>
        <w:t xml:space="preserve">Following the technical session, attendees are invited to continue the conversation at </w:t>
      </w:r>
      <w:r w:rsidRPr="005070E5">
        <w:rPr>
          <w:b/>
          <w:bCs/>
        </w:rPr>
        <w:t>Cook in Needham</w:t>
      </w:r>
      <w:r w:rsidRPr="005070E5">
        <w:t>, located just a short distance from EH&amp;E’s office. Registration supports the post-event networking reception, including food and refreshments</w:t>
      </w:r>
      <w:r>
        <w:t xml:space="preserve"> with a cash bar</w:t>
      </w:r>
      <w:r w:rsidRPr="005070E5">
        <w:t>.</w:t>
      </w:r>
    </w:p>
    <w:p w14:paraId="015B1AD8" w14:textId="77777777" w:rsidR="005070E5" w:rsidRPr="005070E5" w:rsidRDefault="00155C1C" w:rsidP="005070E5">
      <w:r>
        <w:pict w14:anchorId="2E369A8C">
          <v:rect id="_x0000_i1031" style="width:0;height:1.5pt" o:hralign="center" o:hrstd="t" o:hr="t" fillcolor="#a0a0a0" stroked="f"/>
        </w:pict>
      </w:r>
    </w:p>
    <w:p w14:paraId="1F2189A4" w14:textId="77777777" w:rsidR="005070E5" w:rsidRPr="005070E5" w:rsidRDefault="005070E5" w:rsidP="005070E5">
      <w:pPr>
        <w:rPr>
          <w:b/>
          <w:bCs/>
        </w:rPr>
      </w:pPr>
      <w:r w:rsidRPr="005070E5">
        <w:rPr>
          <w:b/>
          <w:bCs/>
        </w:rPr>
        <w:t>Registration</w:t>
      </w:r>
    </w:p>
    <w:p w14:paraId="64AA2E41" w14:textId="77777777" w:rsidR="005070E5" w:rsidRPr="005070E5" w:rsidRDefault="005070E5" w:rsidP="005070E5">
      <w:r w:rsidRPr="005070E5">
        <w:t>Space is limited. Early registration is encouraged.</w:t>
      </w:r>
    </w:p>
    <w:p w14:paraId="6FBD64B7" w14:textId="138DEFA2" w:rsidR="005070E5" w:rsidRPr="005070E5" w:rsidRDefault="00A76AC0" w:rsidP="005070E5">
      <w:hyperlink r:id="rId5" w:history="1">
        <w:r w:rsidR="005070E5" w:rsidRPr="00A76AC0">
          <w:rPr>
            <w:rStyle w:val="Hyperlink"/>
          </w:rPr>
          <w:t>[Registration Link]</w:t>
        </w:r>
      </w:hyperlink>
    </w:p>
    <w:p w14:paraId="4FCDB49E" w14:textId="77777777" w:rsidR="005070E5" w:rsidRPr="005070E5" w:rsidRDefault="00155C1C" w:rsidP="005070E5">
      <w:r>
        <w:pict w14:anchorId="7FD3BB28">
          <v:rect id="_x0000_i1032" style="width:0;height:1.5pt" o:hralign="center" o:hrstd="t" o:hr="t" fillcolor="#a0a0a0" stroked="f"/>
        </w:pict>
      </w:r>
    </w:p>
    <w:p w14:paraId="21970038" w14:textId="77777777" w:rsidR="005070E5" w:rsidRPr="005070E5" w:rsidRDefault="005070E5" w:rsidP="005070E5">
      <w:pPr>
        <w:rPr>
          <w:b/>
          <w:bCs/>
        </w:rPr>
      </w:pPr>
      <w:r w:rsidRPr="005070E5">
        <w:rPr>
          <w:b/>
          <w:bCs/>
        </w:rPr>
        <w:t>Sponsorship Opportunity</w:t>
      </w:r>
    </w:p>
    <w:p w14:paraId="38F0309F" w14:textId="77777777" w:rsidR="005070E5" w:rsidRPr="005070E5" w:rsidRDefault="005070E5" w:rsidP="005070E5">
      <w:r w:rsidRPr="005070E5">
        <w:t>We are currently seeking an event sponsor. This is an excellent opportunity for visibility in front of engaged safety and industrial hygiene professionals across Greater Boston.</w:t>
      </w:r>
    </w:p>
    <w:p w14:paraId="71861A27" w14:textId="77777777" w:rsidR="005070E5" w:rsidRPr="005070E5" w:rsidRDefault="005070E5" w:rsidP="005070E5">
      <w:r w:rsidRPr="005070E5">
        <w:t>If your organization is interested in sponsoring this event, please contact the Programs Committee.</w:t>
      </w:r>
    </w:p>
    <w:p w14:paraId="40A63491" w14:textId="77777777" w:rsidR="005070E5" w:rsidRPr="005070E5" w:rsidRDefault="00155C1C" w:rsidP="005070E5">
      <w:r>
        <w:pict w14:anchorId="78BFE69D">
          <v:rect id="_x0000_i1033" style="width:0;height:1.5pt" o:hralign="center" o:hrstd="t" o:hr="t" fillcolor="#a0a0a0" stroked="f"/>
        </w:pict>
      </w:r>
    </w:p>
    <w:p w14:paraId="433B75D1" w14:textId="77777777" w:rsidR="005070E5" w:rsidRPr="005070E5" w:rsidRDefault="005070E5" w:rsidP="005070E5">
      <w:r w:rsidRPr="005070E5">
        <w:t>We look forward to welcoming you on March 26 as we continue strengthening collaboration between ASSP and AIHA and delivering high-value technical programming to our members.</w:t>
      </w:r>
    </w:p>
    <w:p w14:paraId="5CAB7068" w14:textId="77777777" w:rsidR="005070E5" w:rsidRDefault="005070E5"/>
    <w:sectPr w:rsidR="00507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5028"/>
    <w:multiLevelType w:val="multilevel"/>
    <w:tmpl w:val="A028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940168"/>
    <w:multiLevelType w:val="multilevel"/>
    <w:tmpl w:val="317C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95583B"/>
    <w:multiLevelType w:val="multilevel"/>
    <w:tmpl w:val="2856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866783">
    <w:abstractNumId w:val="2"/>
  </w:num>
  <w:num w:numId="2" w16cid:durableId="1185290061">
    <w:abstractNumId w:val="1"/>
  </w:num>
  <w:num w:numId="3" w16cid:durableId="156506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0E5"/>
    <w:rsid w:val="004F1F53"/>
    <w:rsid w:val="005070E5"/>
    <w:rsid w:val="00A4123C"/>
    <w:rsid w:val="00A7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ABBD8"/>
  <w15:chartTrackingRefBased/>
  <w15:docId w15:val="{FF13F491-C3B1-43E8-90A6-71374E5C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0E5"/>
    <w:rPr>
      <w:rFonts w:eastAsiaTheme="majorEastAsia" w:cstheme="majorBidi"/>
      <w:color w:val="272727" w:themeColor="text1" w:themeTint="D8"/>
    </w:rPr>
  </w:style>
  <w:style w:type="paragraph" w:styleId="Title">
    <w:name w:val="Title"/>
    <w:basedOn w:val="Normal"/>
    <w:next w:val="Normal"/>
    <w:link w:val="TitleChar"/>
    <w:uiPriority w:val="10"/>
    <w:qFormat/>
    <w:rsid w:val="00507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0E5"/>
    <w:pPr>
      <w:spacing w:before="160"/>
      <w:jc w:val="center"/>
    </w:pPr>
    <w:rPr>
      <w:i/>
      <w:iCs/>
      <w:color w:val="404040" w:themeColor="text1" w:themeTint="BF"/>
    </w:rPr>
  </w:style>
  <w:style w:type="character" w:customStyle="1" w:styleId="QuoteChar">
    <w:name w:val="Quote Char"/>
    <w:basedOn w:val="DefaultParagraphFont"/>
    <w:link w:val="Quote"/>
    <w:uiPriority w:val="29"/>
    <w:rsid w:val="005070E5"/>
    <w:rPr>
      <w:i/>
      <w:iCs/>
      <w:color w:val="404040" w:themeColor="text1" w:themeTint="BF"/>
    </w:rPr>
  </w:style>
  <w:style w:type="paragraph" w:styleId="ListParagraph">
    <w:name w:val="List Paragraph"/>
    <w:basedOn w:val="Normal"/>
    <w:uiPriority w:val="34"/>
    <w:qFormat/>
    <w:rsid w:val="005070E5"/>
    <w:pPr>
      <w:ind w:left="720"/>
      <w:contextualSpacing/>
    </w:pPr>
  </w:style>
  <w:style w:type="character" w:styleId="IntenseEmphasis">
    <w:name w:val="Intense Emphasis"/>
    <w:basedOn w:val="DefaultParagraphFont"/>
    <w:uiPriority w:val="21"/>
    <w:qFormat/>
    <w:rsid w:val="005070E5"/>
    <w:rPr>
      <w:i/>
      <w:iCs/>
      <w:color w:val="0F4761" w:themeColor="accent1" w:themeShade="BF"/>
    </w:rPr>
  </w:style>
  <w:style w:type="paragraph" w:styleId="IntenseQuote">
    <w:name w:val="Intense Quote"/>
    <w:basedOn w:val="Normal"/>
    <w:next w:val="Normal"/>
    <w:link w:val="IntenseQuoteChar"/>
    <w:uiPriority w:val="30"/>
    <w:qFormat/>
    <w:rsid w:val="00507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0E5"/>
    <w:rPr>
      <w:i/>
      <w:iCs/>
      <w:color w:val="0F4761" w:themeColor="accent1" w:themeShade="BF"/>
    </w:rPr>
  </w:style>
  <w:style w:type="character" w:styleId="IntenseReference">
    <w:name w:val="Intense Reference"/>
    <w:basedOn w:val="DefaultParagraphFont"/>
    <w:uiPriority w:val="32"/>
    <w:qFormat/>
    <w:rsid w:val="005070E5"/>
    <w:rPr>
      <w:b/>
      <w:bCs/>
      <w:smallCaps/>
      <w:color w:val="0F4761" w:themeColor="accent1" w:themeShade="BF"/>
      <w:spacing w:val="5"/>
    </w:rPr>
  </w:style>
  <w:style w:type="character" w:styleId="Hyperlink">
    <w:name w:val="Hyperlink"/>
    <w:basedOn w:val="DefaultParagraphFont"/>
    <w:uiPriority w:val="99"/>
    <w:unhideWhenUsed/>
    <w:rsid w:val="00A76AC0"/>
    <w:rPr>
      <w:color w:val="467886" w:themeColor="hyperlink"/>
      <w:u w:val="single"/>
    </w:rPr>
  </w:style>
  <w:style w:type="character" w:styleId="UnresolvedMention">
    <w:name w:val="Unresolved Mention"/>
    <w:basedOn w:val="DefaultParagraphFont"/>
    <w:uiPriority w:val="99"/>
    <w:semiHidden/>
    <w:unhideWhenUsed/>
    <w:rsid w:val="00A76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entbrite.com/e/1983994499957?aff=oddtdtcre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409</Words>
  <Characters>2673</Characters>
  <Application>Microsoft Office Word</Application>
  <DocSecurity>0</DocSecurity>
  <Lines>74</Lines>
  <Paragraphs>50</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2</cp:revision>
  <dcterms:created xsi:type="dcterms:W3CDTF">2026-02-24T17:17:00Z</dcterms:created>
  <dcterms:modified xsi:type="dcterms:W3CDTF">2026-02-25T21:54:00Z</dcterms:modified>
</cp:coreProperties>
</file>